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ascii="Arial" w:hAnsi="Arial" w:eastAsia="宋体"/>
          <w:b/>
          <w:i/>
          <w:sz w:val="24"/>
          <w:lang w:eastAsia="zh-CN"/>
        </w:rPr>
      </w:pPr>
      <w:bookmarkStart w:id="0" w:name="DocumentFor"/>
      <w:bookmarkEnd w:id="0"/>
      <w:bookmarkStart w:id="1" w:name="Title"/>
      <w:bookmarkEnd w:id="1"/>
      <w:r>
        <w:rPr>
          <w:rFonts w:ascii="Arial" w:hAnsi="Arial" w:cs="Arial"/>
          <w:b/>
          <w:sz w:val="24"/>
        </w:rPr>
        <w:t>3GPP TSG-RAN WG4 Meeting #101-e</w:t>
      </w:r>
      <w:r>
        <w:rPr>
          <w:rFonts w:ascii="Arial" w:hAnsi="Arial" w:eastAsia="MS Mincho"/>
          <w:b/>
          <w:sz w:val="24"/>
        </w:rPr>
        <w:tab/>
      </w:r>
      <w:r>
        <w:rPr>
          <w:rFonts w:ascii="Arial" w:hAnsi="Arial"/>
          <w:b/>
          <w:sz w:val="24"/>
          <w:lang w:eastAsia="zh-CN"/>
        </w:rPr>
        <w:t>R4-</w:t>
      </w:r>
      <w:r>
        <w:rPr>
          <w:rFonts w:hint="eastAsia" w:ascii="Arial" w:hAnsi="Arial"/>
          <w:b/>
          <w:sz w:val="24"/>
          <w:lang w:eastAsia="zh-CN"/>
        </w:rPr>
        <w:t>2118432</w:t>
      </w:r>
    </w:p>
    <w:p>
      <w:pPr>
        <w:tabs>
          <w:tab w:val="left" w:pos="3106"/>
          <w:tab w:val="center" w:pos="4536"/>
          <w:tab w:val="right" w:pos="9072"/>
        </w:tabs>
        <w:jc w:val="both"/>
        <w:rPr>
          <w:rFonts w:ascii="Arial" w:hAnsi="Arial" w:eastAsia="宋体"/>
          <w:b/>
          <w:sz w:val="24"/>
          <w:lang w:val="en-GB" w:eastAsia="zh-CN"/>
        </w:rPr>
      </w:pPr>
      <w:r>
        <w:rPr>
          <w:rFonts w:ascii="Arial" w:hAnsi="Arial" w:eastAsia="宋体" w:cs="Arial"/>
          <w:b/>
          <w:sz w:val="24"/>
          <w:lang w:eastAsia="zh-CN"/>
        </w:rPr>
        <w:t>Electronic Meeting, November 01-12, 2021</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宋体"/>
          <w:b/>
          <w:sz w:val="24"/>
          <w:lang w:val="en-US" w:eastAsia="zh-CN"/>
        </w:rPr>
        <w:t xml:space="preserve">          </w:t>
      </w:r>
      <w:r>
        <w:rPr>
          <w:rFonts w:hint="eastAsia" w:ascii="Arial" w:hAnsi="Arial" w:eastAsia="MS Mincho"/>
          <w:b/>
          <w:sz w:val="24"/>
          <w:lang w:eastAsia="zh-CN"/>
        </w:rPr>
        <w:t>Discussion on NR FR2 HST scenario-B</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sz w:val="24"/>
          <w:lang w:val="en-US" w:eastAsia="zh-CN"/>
        </w:rPr>
        <w:t>8.9.2.2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channel model and test issues for scenario-B are discussed.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RAN4# 100-e</w:t>
      </w:r>
      <w:r>
        <w:rPr>
          <w:rFonts w:ascii="Times New Roman" w:hAnsi="Times New Roman"/>
          <w:bCs/>
          <w:kern w:val="0"/>
          <w:sz w:val="20"/>
          <w:szCs w:val="20"/>
        </w:rPr>
        <w:t xml:space="preserve"> meeting, the following </w:t>
      </w:r>
      <w:r>
        <w:rPr>
          <w:rFonts w:hint="eastAsia" w:ascii="Times New Roman" w:hAnsi="Times New Roman"/>
          <w:bCs/>
          <w:kern w:val="0"/>
          <w:sz w:val="20"/>
          <w:szCs w:val="20"/>
        </w:rPr>
        <w:t>issues about scenario-B were</w:t>
      </w:r>
      <w:r>
        <w:rPr>
          <w:rFonts w:ascii="Times New Roman" w:hAnsi="Times New Roman"/>
          <w:bCs/>
          <w:kern w:val="0"/>
          <w:sz w:val="20"/>
          <w:szCs w:val="20"/>
        </w:rPr>
        <w:t xml:space="preserve"> reached</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szCs w:val="20"/>
                <w:highlight w:val="green"/>
                <w:lang w:val="en-GB" w:eastAsia="ko-KR"/>
              </w:rPr>
            </w:pPr>
            <w:r>
              <w:rPr>
                <w:rFonts w:hint="eastAsia"/>
                <w:szCs w:val="20"/>
                <w:highlight w:val="green"/>
                <w:lang w:val="en-GB" w:eastAsia="ko-KR"/>
              </w:rPr>
              <w:t xml:space="preserve">Agreement: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szCs w:val="20"/>
                <w:highlight w:val="green"/>
                <w:lang w:val="en-GB" w:eastAsia="ko-KR"/>
              </w:rPr>
            </w:pPr>
            <w:r>
              <w:rPr>
                <w:rFonts w:hint="eastAsia"/>
                <w:szCs w:val="20"/>
                <w:highlight w:val="green"/>
                <w:lang w:val="en-GB" w:eastAsia="ko-KR"/>
              </w:rPr>
              <w:t>Companies are encouraged to draw conclusion in this meeting for RAN4 demodulation aspect.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szCs w:val="20"/>
                <w:highlight w:val="green"/>
                <w:lang w:val="en-GB" w:eastAsia="ko-KR"/>
              </w:rPr>
            </w:pPr>
            <w:r>
              <w:rPr>
                <w:rFonts w:hint="eastAsia"/>
                <w:szCs w:val="20"/>
                <w:highlight w:val="green"/>
                <w:lang w:val="en-GB" w:eastAsia="ko-KR"/>
              </w:rPr>
              <w:t>All feasible transmission schemes with assioated channel modelling can be included into TR.</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szCs w:val="20"/>
                <w:highlight w:val="green"/>
                <w:lang w:val="en-GB" w:eastAsia="ko-KR"/>
              </w:rPr>
            </w:pPr>
            <w:r>
              <w:rPr>
                <w:rFonts w:hint="eastAsia"/>
                <w:szCs w:val="20"/>
                <w:highlight w:val="green"/>
                <w:lang w:val="en-GB" w:eastAsia="ko-KR"/>
              </w:rPr>
              <w:t>The baseline assumption was to consider option 2a for demodulation if introducing test cases pending on further checking by Nov 2021 RAN4 meeting.</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eastAsia"/>
                <w:szCs w:val="20"/>
                <w:highlight w:val="green"/>
                <w:lang w:val="en-GB" w:eastAsia="ko-KR"/>
              </w:rPr>
            </w:pPr>
            <w:r>
              <w:rPr>
                <w:rFonts w:hint="eastAsia"/>
                <w:szCs w:val="20"/>
                <w:highlight w:val="green"/>
                <w:lang w:val="en-GB" w:eastAsia="ko-KR"/>
              </w:rPr>
              <w:t>-Note: From frequency jump performance verification aspect, option 2a is more simple option.</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Agreement (GTW Aug 19</w:t>
            </w:r>
            <w:r>
              <w:rPr>
                <w:rFonts w:ascii="Times New Roman" w:hAnsi="Times New Roman" w:cs="Times New Roman"/>
                <w:sz w:val="20"/>
                <w:szCs w:val="20"/>
                <w:highlight w:val="green"/>
                <w:vertAlign w:val="superscript"/>
                <w:lang w:val="en-GB" w:eastAsia="ko-KR"/>
              </w:rPr>
              <w:t>th</w:t>
            </w:r>
            <w:r>
              <w:rPr>
                <w:rFonts w:ascii="Times New Roman" w:hAnsi="Times New Roman" w:cs="Times New Roman"/>
                <w:sz w:val="20"/>
                <w:szCs w:val="20"/>
                <w:highlight w:val="green"/>
                <w:lang w:val="en-GB" w:eastAsia="ko-KR"/>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No dedicated performance RAN4 requirements will be specified for Bi-directional deployment for Scenario A by assuming the requirements will be specified under uni-directional deployment which pending on further confirmation in RRM session for the feasibility of uni-directional deployment.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eastAsia"/>
                <w:szCs w:val="20"/>
                <w:highlight w:val="green"/>
                <w:lang w:val="en-GB" w:eastAsia="zh-CN"/>
              </w:rPr>
            </w:pPr>
            <w:r>
              <w:rPr>
                <w:rFonts w:hint="eastAsia" w:ascii="Times New Roman" w:hAnsi="Times New Roman" w:cs="Times New Roman"/>
                <w:sz w:val="20"/>
                <w:szCs w:val="20"/>
                <w:highlight w:val="green"/>
                <w:lang w:val="en-GB" w:eastAsia="ko-KR"/>
              </w:rPr>
              <w:t xml:space="preserve">Capture relevant information for the analysis of all possible deployment and schemes into TR, and some </w:t>
            </w:r>
            <w:r>
              <w:rPr>
                <w:rFonts w:ascii="Times New Roman" w:hAnsi="Times New Roman" w:cs="Times New Roman"/>
                <w:sz w:val="20"/>
                <w:szCs w:val="20"/>
                <w:highlight w:val="green"/>
                <w:lang w:val="en-GB" w:eastAsia="ko-KR"/>
              </w:rPr>
              <w:t>comparison</w:t>
            </w:r>
            <w:r>
              <w:rPr>
                <w:rFonts w:hint="eastAsia" w:ascii="Times New Roman" w:hAnsi="Times New Roman" w:cs="Times New Roman"/>
                <w:sz w:val="20"/>
                <w:szCs w:val="20"/>
                <w:highlight w:val="green"/>
                <w:lang w:val="en-GB" w:eastAsia="ko-KR"/>
              </w:rPr>
              <w:t xml:space="preserve"> analysis can be also included.</w:t>
            </w:r>
            <w:r>
              <w:rPr>
                <w:rFonts w:hint="eastAsia" w:ascii="Times New Roman" w:hAnsi="Times New Roman" w:cs="Times New Roman"/>
                <w:sz w:val="20"/>
                <w:szCs w:val="20"/>
                <w:lang w:val="en-GB" w:eastAsia="ko-KR"/>
              </w:rPr>
              <w:t xml:space="preserve"> </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Option 2a was selected as baseline for Bi-directional deployment in RAN4#100-e meeting. RAN4 reached an agreement that no dedicated performance RAN4 requirement will be specified for Bi-directional deployment for Scenario-A. So the Bi-directional deployment mainly used for scenario-B if Bi-directional deployment is supported by Scenario-B.</w:t>
      </w:r>
    </w:p>
    <w:p>
      <w:pPr>
        <w:pStyle w:val="29"/>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While the number of Rx beam is still under discussion in RRM session and has been discussed in scenario session.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Agreement from RAN4#100-e meeting RRM session</w:t>
            </w:r>
            <w:r>
              <w:rPr>
                <w:rFonts w:hint="eastAsia" w:ascii="Times New Roman" w:hAnsi="Times New Roman"/>
                <w:bCs/>
                <w:kern w:val="0"/>
                <w:sz w:val="20"/>
                <w:szCs w:val="20"/>
                <w:vertAlign w:val="superscript"/>
                <w:lang w:val="en-US" w:eastAsia="zh-CN"/>
              </w:rPr>
              <w:t>[2]</w:t>
            </w:r>
          </w:p>
          <w:p>
            <w:pPr>
              <w:overflowPunct w:val="0"/>
              <w:autoSpaceDE w:val="0"/>
              <w:autoSpaceDN w:val="0"/>
              <w:adjustRightInd w:val="0"/>
              <w:textAlignment w:val="baseline"/>
              <w:rPr>
                <w:rFonts w:eastAsia="Yu Mincho"/>
                <w:b/>
              </w:rPr>
            </w:pPr>
            <w:r>
              <w:rPr>
                <w:rFonts w:eastAsia="Yu Mincho"/>
                <w:b/>
                <w:highlight w:val="green"/>
              </w:rPr>
              <w:t>GtW agreements:</w:t>
            </w:r>
          </w:p>
          <w:p>
            <w:pPr>
              <w:pStyle w:val="29"/>
              <w:keepNext w:val="0"/>
              <w:keepLines w:val="0"/>
              <w:pageBreakBefore w:val="0"/>
              <w:numPr>
                <w:ilvl w:val="0"/>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RX beam number for RRM requirements definition</w:t>
            </w:r>
          </w:p>
          <w:p>
            <w:pPr>
              <w:pStyle w:val="29"/>
              <w:keepNext w:val="0"/>
              <w:keepLines w:val="0"/>
              <w:pageBreakBefore w:val="0"/>
              <w:numPr>
                <w:ilvl w:val="1"/>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Define two set of requirements for Scenario A and Scenario B in terms of number of RX beams per UE</w:t>
            </w:r>
          </w:p>
          <w:p>
            <w:pPr>
              <w:pStyle w:val="29"/>
              <w:keepNext w:val="0"/>
              <w:keepLines w:val="0"/>
              <w:pageBreakBefore w:val="0"/>
              <w:numPr>
                <w:ilvl w:val="2"/>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Scenario A: [2] RX beams for all scenarios</w:t>
            </w:r>
          </w:p>
          <w:p>
            <w:pPr>
              <w:pStyle w:val="29"/>
              <w:keepNext w:val="0"/>
              <w:keepLines w:val="0"/>
              <w:pageBreakBefore w:val="0"/>
              <w:numPr>
                <w:ilvl w:val="2"/>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Scenario B: [6] RX beams for all scenarios</w:t>
            </w:r>
          </w:p>
          <w:p>
            <w:pPr>
              <w:pStyle w:val="29"/>
              <w:keepNext w:val="0"/>
              <w:keepLines w:val="0"/>
              <w:pageBreakBefore w:val="0"/>
              <w:numPr>
                <w:ilvl w:val="2"/>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FFS on feasibility and methods to differentiate scenarios from UE perspective</w:t>
            </w:r>
          </w:p>
          <w:p>
            <w:pPr>
              <w:pStyle w:val="29"/>
              <w:keepNext w:val="0"/>
              <w:keepLines w:val="0"/>
              <w:pageBreakBefore w:val="0"/>
              <w:numPr>
                <w:ilvl w:val="2"/>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FFS if different UE capabilities shall be used for Scenario A and B support</w:t>
            </w:r>
          </w:p>
          <w:p>
            <w:pPr>
              <w:pStyle w:val="29"/>
              <w:keepNext w:val="0"/>
              <w:keepLines w:val="0"/>
              <w:pageBreakBefore w:val="0"/>
              <w:numPr>
                <w:ilvl w:val="1"/>
                <w:numId w:val="4"/>
              </w:numPr>
              <w:kinsoku/>
              <w:wordWrap/>
              <w:topLinePunct w:val="0"/>
              <w:bidi w:val="0"/>
              <w:adjustRightInd w:val="0"/>
              <w:snapToGrid w:val="0"/>
              <w:spacing w:after="0" w:line="240" w:lineRule="auto"/>
              <w:ind w:firstLineChars="0"/>
              <w:rPr>
                <w:rFonts w:hint="default" w:ascii="Times New Roman" w:hAnsi="Times New Roman" w:eastAsia="Yu Mincho" w:cs="Times New Roman"/>
                <w:bCs/>
                <w:sz w:val="20"/>
                <w:szCs w:val="20"/>
                <w:lang w:eastAsia="zh-CN"/>
              </w:rPr>
            </w:pPr>
            <w:r>
              <w:rPr>
                <w:rFonts w:hint="default" w:ascii="Times New Roman" w:hAnsi="Times New Roman" w:eastAsia="Yu Mincho" w:cs="Times New Roman"/>
                <w:bCs/>
                <w:sz w:val="20"/>
                <w:szCs w:val="20"/>
                <w:lang w:eastAsia="zh-CN"/>
              </w:rPr>
              <w:t>Note: if there is insignificant difference between Scenario A and B requirements, then further discussion on unified requirements can take place</w:t>
            </w:r>
          </w:p>
          <w:p>
            <w:pPr>
              <w:keepNext w:val="0"/>
              <w:keepLines w:val="0"/>
              <w:pageBreakBefore w:val="0"/>
              <w:kinsoku/>
              <w:wordWrap/>
              <w:overflowPunct w:val="0"/>
              <w:topLinePunct w:val="0"/>
              <w:autoSpaceDE w:val="0"/>
              <w:autoSpaceDN w:val="0"/>
              <w:bidi w:val="0"/>
              <w:adjustRightInd w:val="0"/>
              <w:snapToGrid w:val="0"/>
              <w:spacing w:after="0" w:line="240" w:lineRule="auto"/>
              <w:textAlignment w:val="baseline"/>
              <w:rPr>
                <w:rFonts w:hint="default" w:ascii="Times New Roman" w:hAnsi="Times New Roman" w:eastAsia="Yu Mincho" w:cs="Times New Roman"/>
                <w:b/>
                <w:sz w:val="20"/>
                <w:szCs w:val="20"/>
              </w:rPr>
            </w:pPr>
            <w:r>
              <w:rPr>
                <w:rFonts w:hint="default" w:ascii="Times New Roman" w:hAnsi="Times New Roman" w:eastAsia="Yu Mincho" w:cs="Times New Roman"/>
                <w:b/>
                <w:sz w:val="20"/>
                <w:szCs w:val="20"/>
              </w:rPr>
              <w:t>Way forward:</w:t>
            </w:r>
          </w:p>
          <w:p>
            <w:pPr>
              <w:pStyle w:val="29"/>
              <w:keepNext w:val="0"/>
              <w:keepLines w:val="0"/>
              <w:pageBreakBefore w:val="0"/>
              <w:kinsoku/>
              <w:wordWrap/>
              <w:topLinePunct w:val="0"/>
              <w:bidi w:val="0"/>
              <w:adjustRightInd w:val="0"/>
              <w:snapToGrid w:val="0"/>
              <w:spacing w:after="0" w:line="240" w:lineRule="auto"/>
              <w:ind w:left="0" w:leftChars="0" w:firstLine="0" w:firstLineChars="0"/>
              <w:rPr>
                <w:rFonts w:hint="eastAsia" w:ascii="Times New Roman" w:hAnsi="Times New Roman"/>
                <w:bCs/>
                <w:kern w:val="0"/>
                <w:sz w:val="20"/>
                <w:szCs w:val="20"/>
                <w:vertAlign w:val="baseline"/>
                <w:lang w:val="en-US" w:eastAsia="zh-CN"/>
              </w:rPr>
            </w:pPr>
            <w:r>
              <w:rPr>
                <w:rFonts w:hint="default" w:ascii="Times New Roman" w:hAnsi="Times New Roman" w:eastAsia="Yu Mincho" w:cs="Times New Roman"/>
                <w:bCs/>
                <w:sz w:val="20"/>
                <w:szCs w:val="20"/>
              </w:rPr>
              <w:t>Discuss the FFS issues from GTW agreement and the possibility to unify the requirements further.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Agreement from RAN4#99-e meeting scenario session</w:t>
            </w:r>
            <w:r>
              <w:rPr>
                <w:rFonts w:hint="eastAsia" w:ascii="Times New Roman" w:hAnsi="Times New Roman"/>
                <w:bCs/>
                <w:kern w:val="0"/>
                <w:sz w:val="20"/>
                <w:szCs w:val="20"/>
                <w:vertAlign w:val="superscript"/>
                <w:lang w:val="en-US" w:eastAsia="zh-CN"/>
              </w:rPr>
              <w:t>[3]</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 xml:space="preserve">Number of Beam(s) for uni-directional (if confirmed to be used), Scenario-B: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RRH parameter:</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 xml:space="preserve">2 beams per RRH panel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Other options not precluded</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FFS the benefits of implementing more beams per RRH panel</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 xml:space="preserve">UE parameter: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 xml:space="preserve">1 beam per UE panel </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Other options not precluded</w:t>
            </w:r>
          </w:p>
          <w:p>
            <w:pPr>
              <w:pStyle w:val="29"/>
              <w:keepNext w:val="0"/>
              <w:keepLines w:val="0"/>
              <w:pageBreakBefore w:val="0"/>
              <w:widowControl w:val="0"/>
              <w:kinsoku/>
              <w:wordWrap/>
              <w:overflowPunct/>
              <w:topLinePunct w:val="0"/>
              <w:autoSpaceDE/>
              <w:autoSpaceDN/>
              <w:bidi w:val="0"/>
              <w:adjustRightInd w:val="0"/>
              <w:snapToGrid w:val="0"/>
              <w:spacing w:after="0" w:line="240" w:lineRule="auto"/>
              <w:ind w:left="0" w:leftChars="0" w:firstLine="0" w:firstLineChars="0"/>
              <w:textAlignment w:val="auto"/>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FFS the benefits of implementing more beams per UE panel</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If the number of beam per RRH panel and per CPE panel is more than one, the transmission scheme may be complex than that of option 2a.</w:t>
      </w:r>
    </w:p>
    <w:p>
      <w:pPr>
        <w:pStyle w:val="29"/>
        <w:ind w:firstLine="0" w:firstLineChars="0"/>
        <w:rPr>
          <w:rFonts w:hint="eastAsia" w:ascii="Times New Roman" w:hAnsi="Times New Roman"/>
          <w:bCs/>
          <w:kern w:val="0"/>
          <w:sz w:val="20"/>
          <w:szCs w:val="20"/>
        </w:rPr>
      </w:pPr>
      <w:r>
        <w:rPr>
          <w:rFonts w:hint="eastAsia" w:ascii="Times New Roman" w:hAnsi="Times New Roman"/>
          <w:bCs/>
          <w:kern w:val="0"/>
          <w:sz w:val="20"/>
          <w:szCs w:val="20"/>
          <w:lang w:val="en-US" w:eastAsia="zh-CN"/>
        </w:rPr>
        <w:t>Figure 1 shows one of the transmission scheme when the number of beam per RRH panel and per CPE panel is 2. Different from option 2a, HST CPE for DL reception will experience more beam/panel switching and Doppler hopping.</w:t>
      </w:r>
    </w:p>
    <w:p>
      <w:pPr>
        <w:pStyle w:val="29"/>
        <w:ind w:firstLine="0" w:firstLineChars="0"/>
        <w:jc w:val="center"/>
        <w:rPr>
          <w:rFonts w:hint="eastAsia"/>
          <w:szCs w:val="20"/>
        </w:rPr>
      </w:pPr>
      <w:r>
        <w:rPr>
          <w:rFonts w:hint="eastAsia"/>
          <w:szCs w:val="20"/>
        </w:rPr>
        <w:drawing>
          <wp:inline distT="0" distB="0" distL="0" distR="0">
            <wp:extent cx="3392805" cy="1431290"/>
            <wp:effectExtent l="1905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5"/>
                    <a:srcRect r="42529"/>
                    <a:stretch>
                      <a:fillRect/>
                    </a:stretch>
                  </pic:blipFill>
                  <pic:spPr>
                    <a:xfrm>
                      <a:off x="0" y="0"/>
                      <a:ext cx="3393367" cy="1431890"/>
                    </a:xfrm>
                    <a:prstGeom prst="rect">
                      <a:avLst/>
                    </a:prstGeom>
                    <a:noFill/>
                    <a:ln w="9525">
                      <a:noFill/>
                      <a:miter lim="800000"/>
                      <a:headEnd/>
                      <a:tailEnd/>
                    </a:ln>
                  </pic:spPr>
                </pic:pic>
              </a:graphicData>
            </a:graphic>
          </wp:inline>
        </w:drawing>
      </w:r>
    </w:p>
    <w:p>
      <w:pPr>
        <w:pStyle w:val="29"/>
        <w:ind w:firstLine="0" w:firstLineChars="0"/>
        <w:jc w:val="center"/>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Figure 1, illustration of option 2c for bi-directional deployment</w:t>
      </w:r>
    </w:p>
    <w:p>
      <w:pPr>
        <w:pStyle w:val="29"/>
        <w:ind w:firstLine="0" w:firstLineChars="0"/>
        <w:rPr>
          <w:rFonts w:hint="eastAsia" w:ascii="Times New Roman" w:hAnsi="Times New Roman"/>
          <w:bCs/>
          <w:kern w:val="0"/>
          <w:sz w:val="20"/>
          <w:szCs w:val="20"/>
        </w:rPr>
      </w:pPr>
      <w:r>
        <w:rPr>
          <w:rFonts w:hint="eastAsia" w:ascii="Times New Roman" w:hAnsi="Times New Roman"/>
          <w:bCs/>
          <w:kern w:val="0"/>
          <w:sz w:val="20"/>
          <w:szCs w:val="20"/>
        </w:rPr>
        <w:t>In FR2, the effect of propagation delay will become significant. The impact of propagation delay on DL demodulation need to be tested. The detailed setup for DL demodulation such as SSB periodicity can be discussed in demodulation session.</w:t>
      </w:r>
    </w:p>
    <w:p>
      <w:pPr>
        <w:pStyle w:val="29"/>
        <w:suppressAutoHyphens/>
        <w:ind w:firstLine="0" w:firstLineChars="0"/>
        <w:rPr>
          <w:bCs/>
          <w:szCs w:val="20"/>
        </w:rPr>
      </w:pPr>
      <w:r>
        <w:rPr>
          <w:rFonts w:hint="eastAsia" w:ascii="Times New Roman" w:hAnsi="Times New Roman"/>
          <w:b/>
          <w:kern w:val="0"/>
          <w:sz w:val="20"/>
          <w:szCs w:val="20"/>
          <w:lang w:val="en-US" w:eastAsia="zh-CN"/>
        </w:rPr>
        <w:t xml:space="preserve">Observation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If more than one beam per RRH panel and per CPE panel is used for Bi-directional deployment scenario-B, the CPE will experience more Doppler hopping and beam/panel switching than that of option 2a for bi-directional deployment</w:t>
      </w:r>
      <w:r>
        <w:rPr>
          <w:rFonts w:ascii="Times New Roman" w:hAnsi="Times New Roman"/>
          <w:b/>
          <w:kern w:val="0"/>
          <w:sz w:val="20"/>
          <w:szCs w:val="20"/>
        </w:rPr>
        <w:t>.</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Issues for test cases were discussed in RAN4# 100-e meeting</w:t>
      </w:r>
      <w:r>
        <w:rPr>
          <w:rFonts w:hint="eastAsia" w:ascii="Times New Roman" w:hAnsi="Times New Roman"/>
          <w:bCs/>
          <w:kern w:val="0"/>
          <w:sz w:val="20"/>
          <w:szCs w:val="20"/>
          <w:vertAlign w:val="superscript"/>
          <w:lang w:val="en-US" w:eastAsia="zh-CN"/>
        </w:rPr>
        <w:t>[1]</w:t>
      </w:r>
      <w:r>
        <w:rPr>
          <w:rFonts w:hint="eastAsia" w:ascii="Times New Roman" w:hAnsi="Times New Roman"/>
          <w:bCs/>
          <w:kern w:val="0"/>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val="en-GB" w:eastAsia="ko-KR"/>
              </w:rPr>
            </w:pPr>
            <w:r>
              <w:rPr>
                <w:rFonts w:ascii="Times New Roman" w:hAnsi="Times New Roman" w:cs="Times New Roman"/>
                <w:sz w:val="20"/>
                <w:szCs w:val="20"/>
                <w:highlight w:val="green"/>
                <w:lang w:val="en-GB" w:eastAsia="ko-KR"/>
              </w:rPr>
              <w:t>Agreement (GTW Aug 19</w:t>
            </w:r>
            <w:r>
              <w:rPr>
                <w:rFonts w:ascii="Times New Roman" w:hAnsi="Times New Roman" w:cs="Times New Roman"/>
                <w:sz w:val="20"/>
                <w:szCs w:val="20"/>
                <w:highlight w:val="green"/>
                <w:vertAlign w:val="superscript"/>
                <w:lang w:val="en-GB" w:eastAsia="ko-KR"/>
              </w:rPr>
              <w:t>th</w:t>
            </w:r>
            <w:r>
              <w:rPr>
                <w:rFonts w:ascii="Times New Roman" w:hAnsi="Times New Roman" w:cs="Times New Roman"/>
                <w:sz w:val="20"/>
                <w:szCs w:val="20"/>
                <w:highlight w:val="green"/>
                <w:lang w:val="en-GB" w:eastAsia="ko-KR"/>
              </w:rPr>
              <w: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eastAsia="ko-KR"/>
              </w:rPr>
            </w:pPr>
            <w:r>
              <w:rPr>
                <w:rFonts w:hint="eastAsia" w:ascii="Times New Roman" w:hAnsi="Times New Roman" w:cs="Times New Roman"/>
                <w:sz w:val="20"/>
                <w:szCs w:val="20"/>
                <w:highlight w:val="green"/>
                <w:lang w:eastAsia="ko-KR"/>
              </w:rPr>
              <w:t xml:space="preserve">Introducing performance requirements for both uni-directional and bi-directional deployment in </w:t>
            </w:r>
            <w:r>
              <w:rPr>
                <w:rFonts w:ascii="Times New Roman" w:hAnsi="Times New Roman" w:cs="Times New Roman"/>
                <w:sz w:val="20"/>
                <w:szCs w:val="20"/>
                <w:highlight w:val="green"/>
                <w:lang w:eastAsia="ko-KR"/>
              </w:rPr>
              <w:t>scenario</w:t>
            </w:r>
            <w:r>
              <w:rPr>
                <w:rFonts w:hint="eastAsia" w:ascii="Times New Roman" w:hAnsi="Times New Roman" w:cs="Times New Roman"/>
                <w:sz w:val="20"/>
                <w:szCs w:val="20"/>
                <w:highlight w:val="green"/>
                <w:lang w:eastAsia="ko-KR"/>
              </w:rPr>
              <w:t xml:space="preserve"> B</w:t>
            </w:r>
            <w:r>
              <w:rPr>
                <w:rFonts w:ascii="Times New Roman" w:hAnsi="Times New Roman" w:cs="Times New Roman"/>
                <w:sz w:val="20"/>
                <w:szCs w:val="20"/>
                <w:highlight w:val="green"/>
                <w:lang w:eastAsia="ko-KR"/>
              </w:rPr>
              <w:t xml:space="preserve"> which pending on further discussion on following aspect: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eastAsia="ko-KR"/>
              </w:rPr>
            </w:pPr>
            <w:r>
              <w:rPr>
                <w:rFonts w:ascii="Times New Roman" w:hAnsi="Times New Roman" w:cs="Times New Roman"/>
                <w:sz w:val="20"/>
                <w:szCs w:val="20"/>
                <w:highlight w:val="green"/>
                <w:lang w:eastAsia="ko-KR"/>
              </w:rPr>
              <w:t>-The test applicable rules can be further discussed and introduced if needed</w:t>
            </w:r>
          </w:p>
          <w:p>
            <w:pPr>
              <w:keepNext w:val="0"/>
              <w:keepLines w:val="0"/>
              <w:pageBreakBefore w:val="0"/>
              <w:widowControl/>
              <w:kinsoku/>
              <w:wordWrap/>
              <w:overflowPunct w:val="0"/>
              <w:topLinePunct w:val="0"/>
              <w:autoSpaceDE w:val="0"/>
              <w:autoSpaceDN w:val="0"/>
              <w:bidi w:val="0"/>
              <w:adjustRightInd w:val="0"/>
              <w:snapToGrid w:val="0"/>
              <w:spacing w:after="0" w:line="240" w:lineRule="auto"/>
              <w:ind w:left="200" w:leftChars="100"/>
              <w:textAlignment w:val="baseline"/>
              <w:rPr>
                <w:rFonts w:ascii="Times New Roman" w:hAnsi="Times New Roman" w:cs="Times New Roman"/>
                <w:sz w:val="20"/>
                <w:szCs w:val="20"/>
                <w:highlight w:val="green"/>
                <w:lang w:eastAsia="ko-KR"/>
              </w:rPr>
            </w:pPr>
            <w:r>
              <w:rPr>
                <w:rFonts w:ascii="Times New Roman" w:hAnsi="Times New Roman" w:cs="Times New Roman"/>
                <w:sz w:val="20"/>
                <w:szCs w:val="20"/>
                <w:highlight w:val="green"/>
                <w:lang w:eastAsia="ko-KR"/>
              </w:rPr>
              <w:t xml:space="preserve">- FFS whether single test case cover both </w:t>
            </w:r>
            <w:r>
              <w:rPr>
                <w:rFonts w:hint="eastAsia" w:ascii="Times New Roman" w:hAnsi="Times New Roman" w:cs="Times New Roman"/>
                <w:sz w:val="20"/>
                <w:szCs w:val="20"/>
                <w:highlight w:val="green"/>
                <w:lang w:eastAsia="ko-KR"/>
              </w:rPr>
              <w:t>uni-directional and bi-directional deployment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trike/>
                <w:sz w:val="20"/>
                <w:szCs w:val="20"/>
                <w:highlight w:val="green"/>
                <w:lang w:eastAsia="ko-KR"/>
              </w:rPr>
            </w:pPr>
            <w:r>
              <w:rPr>
                <w:rFonts w:ascii="Times New Roman" w:hAnsi="Times New Roman" w:cs="Times New Roman"/>
                <w:sz w:val="20"/>
                <w:szCs w:val="20"/>
                <w:highlight w:val="green"/>
                <w:lang w:eastAsia="ko-KR"/>
              </w:rPr>
              <w:t xml:space="preserve">- BS declaration for applicable test cases can be further discussed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ascii="Times New Roman" w:hAnsi="Times New Roman" w:cs="Times New Roman"/>
                <w:sz w:val="20"/>
                <w:szCs w:val="20"/>
                <w:highlight w:val="green"/>
                <w:lang w:eastAsia="ko-KR"/>
              </w:rPr>
            </w:pPr>
            <w:r>
              <w:rPr>
                <w:rFonts w:ascii="Times New Roman" w:hAnsi="Times New Roman" w:cs="Times New Roman"/>
                <w:sz w:val="20"/>
                <w:szCs w:val="20"/>
                <w:highlight w:val="green"/>
                <w:lang w:eastAsia="ko-KR"/>
              </w:rPr>
              <w:t xml:space="preserve">-Test feasibility for bi-directional deployment under performance test cases </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rPr>
                <w:rFonts w:hint="default" w:ascii="Times New Roman" w:hAnsi="Times New Roman"/>
                <w:bCs/>
                <w:kern w:val="0"/>
                <w:sz w:val="20"/>
                <w:szCs w:val="20"/>
                <w:vertAlign w:val="baseline"/>
                <w:lang w:val="en-US" w:eastAsia="zh-CN"/>
              </w:rPr>
            </w:pPr>
            <w:r>
              <w:rPr>
                <w:rFonts w:ascii="Times New Roman" w:hAnsi="Times New Roman" w:cs="Times New Roman"/>
                <w:sz w:val="20"/>
                <w:szCs w:val="20"/>
                <w:highlight w:val="green"/>
                <w:lang w:eastAsia="ko-KR"/>
              </w:rPr>
              <w:t>-Performance comparision among uni-directional and bi-directional deployment</w:t>
            </w:r>
            <w:r>
              <w:rPr>
                <w:rFonts w:ascii="Times New Roman" w:hAnsi="Times New Roman" w:cs="Times New Roman"/>
                <w:sz w:val="20"/>
                <w:szCs w:val="20"/>
                <w:lang w:eastAsia="ko-KR"/>
              </w:rPr>
              <w:t xml:space="preserve"> </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From our point of view, the transmission scheme for uni-directional deployment and bi-directional deployment will be different. It is natural to test different deployment because the performance of another deployment can not </w:t>
      </w:r>
      <w:bookmarkStart w:id="2" w:name="_GoBack"/>
      <w:bookmarkEnd w:id="2"/>
      <w:r>
        <w:rPr>
          <w:rFonts w:hint="eastAsia" w:ascii="Times New Roman" w:hAnsi="Times New Roman"/>
          <w:bCs/>
          <w:kern w:val="0"/>
          <w:sz w:val="20"/>
          <w:szCs w:val="20"/>
          <w:lang w:val="en-US" w:eastAsia="zh-CN"/>
        </w:rPr>
        <w:t>be guaranteed after one deployment is tested. Therefore the reason for applying one test case to two deployments is not very clear.</w:t>
      </w:r>
    </w:p>
    <w:p>
      <w:pPr>
        <w:pStyle w:val="29"/>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Another approach is to design a composite test case which covers both uni-directional and bi-directional deployment. But the test effort need to be considered, if test effort of a composite scheme is greater than the sum of the test effort of uni-directional and bi-directional deployment, we prefer to define test cases for uni-directional and bi-directional deployment separately thus we can first define the test case which has no test feasibility issue.</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We prefer to define test case for uni-directional and bi-directional deployment separately if the test effort of a composite scheme is greater than the sum of the test effort of uni-directional and bi-directional deployment</w:t>
      </w:r>
      <w:r>
        <w:rPr>
          <w:rFonts w:ascii="Times New Roman" w:hAnsi="Times New Roman"/>
          <w:b/>
          <w:kern w:val="0"/>
          <w:sz w:val="20"/>
          <w:szCs w:val="20"/>
        </w:rPr>
        <w:t>.</w:t>
      </w:r>
    </w:p>
    <w:p>
      <w:pPr>
        <w:rPr>
          <w:rFonts w:ascii="Times New Roman" w:hAnsi="Times New Roman"/>
          <w:b/>
          <w:kern w:val="0"/>
          <w:sz w:val="20"/>
          <w:szCs w:val="20"/>
        </w:rPr>
      </w:pPr>
      <w:r>
        <w:rPr>
          <w:rFonts w:ascii="Times New Roman" w:hAnsi="Times New Roman"/>
          <w:b/>
          <w:kern w:val="0"/>
          <w:sz w:val="20"/>
          <w:szCs w:val="20"/>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Cs w:val="20"/>
          <w:lang w:eastAsia="zh-CN"/>
        </w:rPr>
      </w:pPr>
      <w:r>
        <w:rPr>
          <w:rFonts w:hint="eastAsia" w:eastAsia="宋体"/>
          <w:bCs/>
          <w:szCs w:val="20"/>
          <w:lang w:eastAsia="zh-CN"/>
        </w:rPr>
        <w:t>In this contribution, we provide the following observations and proposals for HST_FR2 scenario-A:</w:t>
      </w:r>
    </w:p>
    <w:p>
      <w:pPr>
        <w:pStyle w:val="29"/>
        <w:suppressAutoHyphens/>
        <w:ind w:firstLine="0" w:firstLineChars="0"/>
        <w:rPr>
          <w:rFonts w:ascii="Times New Roman" w:hAnsi="Times New Roman"/>
          <w:b/>
          <w:kern w:val="0"/>
          <w:sz w:val="20"/>
          <w:szCs w:val="20"/>
        </w:rPr>
      </w:pPr>
      <w:r>
        <w:rPr>
          <w:rFonts w:hint="eastAsia" w:ascii="Times New Roman" w:hAnsi="Times New Roman"/>
          <w:b/>
          <w:kern w:val="0"/>
          <w:sz w:val="20"/>
          <w:szCs w:val="20"/>
          <w:lang w:val="en-US" w:eastAsia="zh-CN"/>
        </w:rPr>
        <w:t xml:space="preserve">Observation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If more than one beam per RRH panel and per CPE panel is used for Bi-directional deployment scenario-B, the CPE will experience more Doppler hopping and beam/panel switching than that of option 2a for bi-directional deployment</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1</w:t>
      </w:r>
      <w:r>
        <w:rPr>
          <w:rFonts w:ascii="Times New Roman" w:hAnsi="Times New Roman"/>
          <w:b/>
          <w:kern w:val="0"/>
          <w:sz w:val="20"/>
          <w:szCs w:val="20"/>
        </w:rPr>
        <w:t>:</w:t>
      </w:r>
      <w:r>
        <w:rPr>
          <w:rFonts w:hint="eastAsia" w:ascii="Times New Roman" w:hAnsi="Times New Roman"/>
          <w:b/>
          <w:kern w:val="0"/>
          <w:sz w:val="20"/>
          <w:szCs w:val="20"/>
          <w:lang w:val="en-US" w:eastAsia="zh-CN"/>
        </w:rPr>
        <w:t xml:space="preserve"> We prefer to define test case for uni-directional and bi-directional deployment separately if the test effort of a composite scheme is greater than the sum of the test effort of uni-directional and bi-directional deployment</w:t>
      </w:r>
      <w:r>
        <w:rPr>
          <w:rFonts w:ascii="Times New Roman" w:hAnsi="Times New Roman"/>
          <w:b/>
          <w:kern w:val="0"/>
          <w:sz w:val="20"/>
          <w:szCs w:val="20"/>
        </w:rPr>
        <w:t>.</w:t>
      </w:r>
    </w:p>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R4-2115725 WF on NR HST FR2 Scenario_v02</w:t>
      </w:r>
    </w:p>
    <w:p>
      <w:pPr>
        <w:pStyle w:val="9"/>
        <w:rPr>
          <w:sz w:val="20"/>
          <w:szCs w:val="20"/>
        </w:rPr>
      </w:pPr>
      <w:r>
        <w:rPr>
          <w:rFonts w:hint="eastAsia"/>
          <w:sz w:val="20"/>
          <w:szCs w:val="20"/>
          <w:lang w:val="en-US"/>
        </w:rPr>
        <w:t>R4-211</w:t>
      </w:r>
      <w:r>
        <w:rPr>
          <w:rFonts w:hint="eastAsia"/>
          <w:sz w:val="20"/>
          <w:szCs w:val="20"/>
          <w:lang w:val="en-US" w:eastAsia="zh-CN"/>
        </w:rPr>
        <w:t>5334</w:t>
      </w:r>
      <w:r>
        <w:rPr>
          <w:rFonts w:hint="eastAsia"/>
          <w:sz w:val="20"/>
          <w:szCs w:val="20"/>
          <w:lang w:val="en-US"/>
        </w:rPr>
        <w:t xml:space="preserve"> WF_218_HST_FR2_RRM_1_v05_Nok_QC_clean</w:t>
      </w:r>
    </w:p>
    <w:p>
      <w:pPr>
        <w:pStyle w:val="9"/>
        <w:rPr>
          <w:sz w:val="20"/>
          <w:szCs w:val="20"/>
        </w:rPr>
      </w:pPr>
      <w:r>
        <w:rPr>
          <w:rFonts w:hint="eastAsia"/>
          <w:sz w:val="20"/>
          <w:szCs w:val="20"/>
        </w:rPr>
        <w:t>R4-2108660</w:t>
      </w:r>
      <w:r>
        <w:rPr>
          <w:rFonts w:hint="eastAsia"/>
          <w:sz w:val="20"/>
          <w:szCs w:val="20"/>
          <w:lang w:val="en-US" w:eastAsia="zh-CN"/>
        </w:rPr>
        <w:t xml:space="preserve"> </w:t>
      </w:r>
      <w:r>
        <w:rPr>
          <w:rFonts w:hint="eastAsia"/>
          <w:sz w:val="20"/>
          <w:szCs w:val="20"/>
        </w:rPr>
        <w:t>WF on FR2 HST Deployment Scenario Analysis</w:t>
      </w:r>
    </w:p>
    <w:p>
      <w:pPr>
        <w:rPr>
          <w:szCs w:val="20"/>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3">
    <w:nsid w:val="781C1EEB"/>
    <w:multiLevelType w:val="multilevel"/>
    <w:tmpl w:val="781C1E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E4"/>
    <w:rsid w:val="00001326"/>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3F97"/>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174"/>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161C"/>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0928F5"/>
    <w:rsid w:val="02626E3D"/>
    <w:rsid w:val="027035ED"/>
    <w:rsid w:val="02770E1A"/>
    <w:rsid w:val="0298367A"/>
    <w:rsid w:val="02D254EC"/>
    <w:rsid w:val="02F72239"/>
    <w:rsid w:val="02FE5F82"/>
    <w:rsid w:val="032D5AEE"/>
    <w:rsid w:val="03A05508"/>
    <w:rsid w:val="03AB67DC"/>
    <w:rsid w:val="03B52240"/>
    <w:rsid w:val="03C77456"/>
    <w:rsid w:val="043D2559"/>
    <w:rsid w:val="0478015E"/>
    <w:rsid w:val="0526729B"/>
    <w:rsid w:val="05510DD1"/>
    <w:rsid w:val="062A620F"/>
    <w:rsid w:val="064B00B0"/>
    <w:rsid w:val="06654A0B"/>
    <w:rsid w:val="06823D8F"/>
    <w:rsid w:val="06C138E4"/>
    <w:rsid w:val="07622262"/>
    <w:rsid w:val="07CD3CDD"/>
    <w:rsid w:val="09240BB6"/>
    <w:rsid w:val="09294F7D"/>
    <w:rsid w:val="09674661"/>
    <w:rsid w:val="097E672F"/>
    <w:rsid w:val="09825F02"/>
    <w:rsid w:val="09AB6C45"/>
    <w:rsid w:val="09E20449"/>
    <w:rsid w:val="0A2802DC"/>
    <w:rsid w:val="0A731B50"/>
    <w:rsid w:val="0B802D0D"/>
    <w:rsid w:val="0BC176FB"/>
    <w:rsid w:val="0BC70982"/>
    <w:rsid w:val="0BF41031"/>
    <w:rsid w:val="0C953742"/>
    <w:rsid w:val="0CA242EA"/>
    <w:rsid w:val="0D613BA3"/>
    <w:rsid w:val="0D744565"/>
    <w:rsid w:val="0D7F564D"/>
    <w:rsid w:val="0D835665"/>
    <w:rsid w:val="0DE052FE"/>
    <w:rsid w:val="0E3330D0"/>
    <w:rsid w:val="0ECE66B5"/>
    <w:rsid w:val="0ED62F9C"/>
    <w:rsid w:val="0F11785B"/>
    <w:rsid w:val="0F372967"/>
    <w:rsid w:val="0F4B1309"/>
    <w:rsid w:val="0FDA7DDA"/>
    <w:rsid w:val="0FFA1150"/>
    <w:rsid w:val="112D72C6"/>
    <w:rsid w:val="11A50508"/>
    <w:rsid w:val="120639A8"/>
    <w:rsid w:val="125D4125"/>
    <w:rsid w:val="12AE4121"/>
    <w:rsid w:val="13583391"/>
    <w:rsid w:val="137F4008"/>
    <w:rsid w:val="13F672DD"/>
    <w:rsid w:val="140C5848"/>
    <w:rsid w:val="141B497D"/>
    <w:rsid w:val="143E38B7"/>
    <w:rsid w:val="144E5CD4"/>
    <w:rsid w:val="15220493"/>
    <w:rsid w:val="158F210D"/>
    <w:rsid w:val="15E12A88"/>
    <w:rsid w:val="15E95672"/>
    <w:rsid w:val="16271D63"/>
    <w:rsid w:val="16BD2FB9"/>
    <w:rsid w:val="16E7731D"/>
    <w:rsid w:val="179855D1"/>
    <w:rsid w:val="19607D81"/>
    <w:rsid w:val="199503FD"/>
    <w:rsid w:val="19AF5CF6"/>
    <w:rsid w:val="1A3F5603"/>
    <w:rsid w:val="1AA54D0B"/>
    <w:rsid w:val="1B870B5B"/>
    <w:rsid w:val="1BBC09F6"/>
    <w:rsid w:val="1C3672FA"/>
    <w:rsid w:val="1C3A751E"/>
    <w:rsid w:val="1C5D00DA"/>
    <w:rsid w:val="1C7D0C1A"/>
    <w:rsid w:val="1C7E2DD6"/>
    <w:rsid w:val="1CAD4CCB"/>
    <w:rsid w:val="1CCC40C9"/>
    <w:rsid w:val="1D186F9D"/>
    <w:rsid w:val="1D882A1C"/>
    <w:rsid w:val="1DA251E1"/>
    <w:rsid w:val="1DA93704"/>
    <w:rsid w:val="1F295D72"/>
    <w:rsid w:val="1F4325C8"/>
    <w:rsid w:val="1F595BBB"/>
    <w:rsid w:val="1F7C7957"/>
    <w:rsid w:val="1FD21E35"/>
    <w:rsid w:val="1FD96681"/>
    <w:rsid w:val="1FE10390"/>
    <w:rsid w:val="1FEE7A9C"/>
    <w:rsid w:val="200E58BD"/>
    <w:rsid w:val="205164A7"/>
    <w:rsid w:val="2090238B"/>
    <w:rsid w:val="20BA6502"/>
    <w:rsid w:val="216D7544"/>
    <w:rsid w:val="21B80AA5"/>
    <w:rsid w:val="221703FC"/>
    <w:rsid w:val="221A30CB"/>
    <w:rsid w:val="225216B5"/>
    <w:rsid w:val="22B37446"/>
    <w:rsid w:val="235408E6"/>
    <w:rsid w:val="239838E3"/>
    <w:rsid w:val="23FD5BE3"/>
    <w:rsid w:val="24094F14"/>
    <w:rsid w:val="24386853"/>
    <w:rsid w:val="24715F69"/>
    <w:rsid w:val="249F5850"/>
    <w:rsid w:val="24B140D4"/>
    <w:rsid w:val="24C569C9"/>
    <w:rsid w:val="24CD28B9"/>
    <w:rsid w:val="24F907DC"/>
    <w:rsid w:val="250D35C2"/>
    <w:rsid w:val="252A03F9"/>
    <w:rsid w:val="25EF43C8"/>
    <w:rsid w:val="262E08BF"/>
    <w:rsid w:val="263951B2"/>
    <w:rsid w:val="263E55AD"/>
    <w:rsid w:val="264B37D3"/>
    <w:rsid w:val="27930B1B"/>
    <w:rsid w:val="283146AB"/>
    <w:rsid w:val="288C6204"/>
    <w:rsid w:val="28A96A0F"/>
    <w:rsid w:val="28EE7A07"/>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D46AFB"/>
    <w:rsid w:val="2CE15438"/>
    <w:rsid w:val="2D812190"/>
    <w:rsid w:val="2DA94150"/>
    <w:rsid w:val="2E1176AC"/>
    <w:rsid w:val="2ECB7AE0"/>
    <w:rsid w:val="2F0E5D72"/>
    <w:rsid w:val="2F235269"/>
    <w:rsid w:val="2F322289"/>
    <w:rsid w:val="2F4B1C2D"/>
    <w:rsid w:val="303917A0"/>
    <w:rsid w:val="30571C73"/>
    <w:rsid w:val="30943D7F"/>
    <w:rsid w:val="309C7501"/>
    <w:rsid w:val="313A0372"/>
    <w:rsid w:val="316C26E3"/>
    <w:rsid w:val="31B6217A"/>
    <w:rsid w:val="32305666"/>
    <w:rsid w:val="328D4D87"/>
    <w:rsid w:val="32EC2013"/>
    <w:rsid w:val="33021368"/>
    <w:rsid w:val="33133DBA"/>
    <w:rsid w:val="33491F36"/>
    <w:rsid w:val="33883009"/>
    <w:rsid w:val="346C2BDC"/>
    <w:rsid w:val="34E63221"/>
    <w:rsid w:val="34EA3595"/>
    <w:rsid w:val="34F31159"/>
    <w:rsid w:val="34F61BA3"/>
    <w:rsid w:val="35684E72"/>
    <w:rsid w:val="35D34EB8"/>
    <w:rsid w:val="361A0DD1"/>
    <w:rsid w:val="363A75C1"/>
    <w:rsid w:val="36950F43"/>
    <w:rsid w:val="36F13745"/>
    <w:rsid w:val="37235D83"/>
    <w:rsid w:val="386C1CFB"/>
    <w:rsid w:val="388C38C8"/>
    <w:rsid w:val="388E6306"/>
    <w:rsid w:val="3891144C"/>
    <w:rsid w:val="38E40513"/>
    <w:rsid w:val="393853EE"/>
    <w:rsid w:val="39474FFC"/>
    <w:rsid w:val="39A12E64"/>
    <w:rsid w:val="39E551C2"/>
    <w:rsid w:val="3A985F9F"/>
    <w:rsid w:val="3ACA79CB"/>
    <w:rsid w:val="3ACD696C"/>
    <w:rsid w:val="3B1A6BBF"/>
    <w:rsid w:val="3B1D04C9"/>
    <w:rsid w:val="3B564493"/>
    <w:rsid w:val="3B68666D"/>
    <w:rsid w:val="3B924465"/>
    <w:rsid w:val="3BA94452"/>
    <w:rsid w:val="3BC526E3"/>
    <w:rsid w:val="3BE64D6A"/>
    <w:rsid w:val="3C6C7288"/>
    <w:rsid w:val="3C8B2EA4"/>
    <w:rsid w:val="3CC85F33"/>
    <w:rsid w:val="3D2A61C0"/>
    <w:rsid w:val="3D2A699D"/>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5326DF"/>
    <w:rsid w:val="40705D5D"/>
    <w:rsid w:val="40C765F3"/>
    <w:rsid w:val="41071BAC"/>
    <w:rsid w:val="41256FB7"/>
    <w:rsid w:val="4154071D"/>
    <w:rsid w:val="42C843A0"/>
    <w:rsid w:val="42F20CDD"/>
    <w:rsid w:val="43776349"/>
    <w:rsid w:val="43A46A86"/>
    <w:rsid w:val="43EE5166"/>
    <w:rsid w:val="44B2766E"/>
    <w:rsid w:val="44C82F04"/>
    <w:rsid w:val="453D01E5"/>
    <w:rsid w:val="45834801"/>
    <w:rsid w:val="458F4D24"/>
    <w:rsid w:val="459C5BD8"/>
    <w:rsid w:val="45B01F58"/>
    <w:rsid w:val="45ED56E7"/>
    <w:rsid w:val="45F60A50"/>
    <w:rsid w:val="465B1E86"/>
    <w:rsid w:val="46C6208F"/>
    <w:rsid w:val="482C6CD1"/>
    <w:rsid w:val="4853345A"/>
    <w:rsid w:val="48845C84"/>
    <w:rsid w:val="489C44D3"/>
    <w:rsid w:val="48F82FC3"/>
    <w:rsid w:val="490D3059"/>
    <w:rsid w:val="49500FEB"/>
    <w:rsid w:val="4982678C"/>
    <w:rsid w:val="49F32E1B"/>
    <w:rsid w:val="49FF1C1E"/>
    <w:rsid w:val="4A0B7057"/>
    <w:rsid w:val="4A280667"/>
    <w:rsid w:val="4A511B6E"/>
    <w:rsid w:val="4A7C4548"/>
    <w:rsid w:val="4B5B5B93"/>
    <w:rsid w:val="4B901389"/>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150A2D"/>
    <w:rsid w:val="50416453"/>
    <w:rsid w:val="504E5AC6"/>
    <w:rsid w:val="505076EF"/>
    <w:rsid w:val="505F3BD5"/>
    <w:rsid w:val="508A0B34"/>
    <w:rsid w:val="513C5648"/>
    <w:rsid w:val="51736098"/>
    <w:rsid w:val="51B14BED"/>
    <w:rsid w:val="51B42F14"/>
    <w:rsid w:val="51EE252C"/>
    <w:rsid w:val="51FA3D86"/>
    <w:rsid w:val="52022698"/>
    <w:rsid w:val="526965AA"/>
    <w:rsid w:val="531E2281"/>
    <w:rsid w:val="54175BE1"/>
    <w:rsid w:val="5445166E"/>
    <w:rsid w:val="54632332"/>
    <w:rsid w:val="54944CE7"/>
    <w:rsid w:val="55436523"/>
    <w:rsid w:val="55CA20E9"/>
    <w:rsid w:val="55ED23C7"/>
    <w:rsid w:val="56196A30"/>
    <w:rsid w:val="563C5184"/>
    <w:rsid w:val="565631F5"/>
    <w:rsid w:val="56C44CD3"/>
    <w:rsid w:val="581B09AF"/>
    <w:rsid w:val="582E227B"/>
    <w:rsid w:val="58983966"/>
    <w:rsid w:val="589E3B99"/>
    <w:rsid w:val="589F3533"/>
    <w:rsid w:val="593261D2"/>
    <w:rsid w:val="59423730"/>
    <w:rsid w:val="595A6E9E"/>
    <w:rsid w:val="5A8F1C82"/>
    <w:rsid w:val="5AA04D8D"/>
    <w:rsid w:val="5AFF5DE6"/>
    <w:rsid w:val="5B4026E8"/>
    <w:rsid w:val="5B482E24"/>
    <w:rsid w:val="5C9A4DB7"/>
    <w:rsid w:val="5D1A39EE"/>
    <w:rsid w:val="5D5C7688"/>
    <w:rsid w:val="5E224225"/>
    <w:rsid w:val="5E2732CD"/>
    <w:rsid w:val="5E336F39"/>
    <w:rsid w:val="60205F90"/>
    <w:rsid w:val="608E2F6C"/>
    <w:rsid w:val="60EC3C37"/>
    <w:rsid w:val="61542874"/>
    <w:rsid w:val="61A058F7"/>
    <w:rsid w:val="62082A4E"/>
    <w:rsid w:val="623C28E2"/>
    <w:rsid w:val="62D53BF4"/>
    <w:rsid w:val="63483DC6"/>
    <w:rsid w:val="63610183"/>
    <w:rsid w:val="637947A5"/>
    <w:rsid w:val="63D0005D"/>
    <w:rsid w:val="64B7605C"/>
    <w:rsid w:val="652B096E"/>
    <w:rsid w:val="658B678B"/>
    <w:rsid w:val="65E73B66"/>
    <w:rsid w:val="66131984"/>
    <w:rsid w:val="66785612"/>
    <w:rsid w:val="66E16576"/>
    <w:rsid w:val="66E33C2D"/>
    <w:rsid w:val="67427945"/>
    <w:rsid w:val="68233C28"/>
    <w:rsid w:val="6906197A"/>
    <w:rsid w:val="692A17F3"/>
    <w:rsid w:val="69C27972"/>
    <w:rsid w:val="6A2E4954"/>
    <w:rsid w:val="6A6E396D"/>
    <w:rsid w:val="6AC9421D"/>
    <w:rsid w:val="6AD94F47"/>
    <w:rsid w:val="6C4C2667"/>
    <w:rsid w:val="6CDA49A3"/>
    <w:rsid w:val="6CF36133"/>
    <w:rsid w:val="6D044CB7"/>
    <w:rsid w:val="6D2C0194"/>
    <w:rsid w:val="6DD1076A"/>
    <w:rsid w:val="6DDE3DAF"/>
    <w:rsid w:val="6E1735DC"/>
    <w:rsid w:val="6E2211D6"/>
    <w:rsid w:val="6F1206C7"/>
    <w:rsid w:val="6FBA4BA1"/>
    <w:rsid w:val="70E13200"/>
    <w:rsid w:val="714420CD"/>
    <w:rsid w:val="715F4C2D"/>
    <w:rsid w:val="724530CF"/>
    <w:rsid w:val="72CB7F46"/>
    <w:rsid w:val="73121CB7"/>
    <w:rsid w:val="745C121D"/>
    <w:rsid w:val="74BC3FA6"/>
    <w:rsid w:val="74FE041B"/>
    <w:rsid w:val="755C4C37"/>
    <w:rsid w:val="761A2E8D"/>
    <w:rsid w:val="768D7CD7"/>
    <w:rsid w:val="774D1291"/>
    <w:rsid w:val="77647371"/>
    <w:rsid w:val="776C25E5"/>
    <w:rsid w:val="776C3E9D"/>
    <w:rsid w:val="77B7237F"/>
    <w:rsid w:val="78271104"/>
    <w:rsid w:val="784B7472"/>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B44FBE"/>
    <w:rsid w:val="7DC64605"/>
    <w:rsid w:val="7DDD0501"/>
    <w:rsid w:val="7E2653BA"/>
    <w:rsid w:val="7E2B63E7"/>
    <w:rsid w:val="7E8B79FF"/>
    <w:rsid w:val="7E935AFB"/>
    <w:rsid w:val="7E9C3271"/>
    <w:rsid w:val="7EC65AAB"/>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223</Words>
  <Characters>1272</Characters>
  <Lines>10</Lines>
  <Paragraphs>2</Paragraphs>
  <TotalTime>77</TotalTime>
  <ScaleCrop>false</ScaleCrop>
  <LinksUpToDate>false</LinksUpToDate>
  <CharactersWithSpaces>1493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2021-10-22T13:38:37Z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